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 w:firstLine="0" w:left="0"/>
        <w:jc w:val="right"/>
        <w:rPr>
          <w:sz w:val="28"/>
        </w:rPr>
      </w:pPr>
      <w:r>
        <w:rPr>
          <w:sz w:val="28"/>
        </w:rPr>
        <w:t xml:space="preserve">Приложение к Решению </w:t>
      </w:r>
    </w:p>
    <w:p w14:paraId="03000000">
      <w:pPr>
        <w:ind w:firstLine="0" w:left="0"/>
        <w:jc w:val="right"/>
        <w:rPr>
          <w:sz w:val="28"/>
        </w:rPr>
      </w:pPr>
      <w:r>
        <w:rPr>
          <w:sz w:val="28"/>
        </w:rPr>
        <w:t xml:space="preserve">Собрания </w:t>
      </w:r>
      <w:r>
        <w:rPr>
          <w:sz w:val="28"/>
        </w:rPr>
        <w:t xml:space="preserve">депутатов Аксайского района </w:t>
      </w:r>
    </w:p>
    <w:p w14:paraId="04000000">
      <w:pPr>
        <w:ind w:firstLine="0" w:left="0"/>
        <w:jc w:val="right"/>
        <w:rPr>
          <w:sz w:val="28"/>
        </w:rPr>
      </w:pPr>
      <w:r>
        <w:rPr>
          <w:sz w:val="28"/>
        </w:rPr>
        <w:t xml:space="preserve">«Об утверждении </w:t>
      </w:r>
      <w:r>
        <w:rPr>
          <w:sz w:val="28"/>
        </w:rPr>
        <w:t xml:space="preserve">изменений </w:t>
      </w:r>
    </w:p>
    <w:p w14:paraId="05000000">
      <w:pPr>
        <w:ind w:firstLine="0" w:left="0"/>
        <w:jc w:val="right"/>
        <w:rPr>
          <w:sz w:val="28"/>
        </w:rPr>
      </w:pPr>
      <w:r>
        <w:rPr>
          <w:sz w:val="28"/>
        </w:rPr>
        <w:t xml:space="preserve">в </w:t>
      </w:r>
      <w:r>
        <w:rPr>
          <w:sz w:val="28"/>
        </w:rPr>
        <w:t xml:space="preserve">правила </w:t>
      </w:r>
      <w:r>
        <w:rPr>
          <w:sz w:val="28"/>
        </w:rPr>
        <w:t>землепользования и застройки</w:t>
      </w:r>
      <w:r>
        <w:rPr>
          <w:sz w:val="28"/>
        </w:rPr>
        <w:t xml:space="preserve"> </w:t>
      </w:r>
    </w:p>
    <w:p w14:paraId="06000000">
      <w:pPr>
        <w:ind/>
        <w:jc w:val="right"/>
        <w:rPr>
          <w:sz w:val="28"/>
        </w:rPr>
      </w:pPr>
      <w:r>
        <w:rPr>
          <w:sz w:val="28"/>
        </w:rPr>
        <w:t>Грушевского</w:t>
      </w:r>
      <w:r>
        <w:rPr>
          <w:sz w:val="28"/>
        </w:rPr>
        <w:t xml:space="preserve"> </w:t>
      </w:r>
      <w:r>
        <w:rPr>
          <w:sz w:val="28"/>
        </w:rPr>
        <w:t xml:space="preserve">сельского поселения </w:t>
      </w:r>
    </w:p>
    <w:p w14:paraId="07000000">
      <w:pPr>
        <w:ind w:firstLine="708" w:left="3540"/>
        <w:jc w:val="right"/>
        <w:rPr>
          <w:sz w:val="28"/>
        </w:rPr>
      </w:pPr>
      <w:r>
        <w:rPr>
          <w:sz w:val="28"/>
        </w:rPr>
        <w:t>Аксайского района Ростовской области»</w:t>
      </w:r>
    </w:p>
    <w:p w14:paraId="08000000">
      <w:pPr>
        <w:ind w:firstLine="708" w:left="3540"/>
        <w:jc w:val="both"/>
        <w:rPr>
          <w:sz w:val="28"/>
        </w:rPr>
      </w:pPr>
    </w:p>
    <w:p w14:paraId="09000000">
      <w:pPr>
        <w:ind/>
        <w:jc w:val="both"/>
      </w:pPr>
    </w:p>
    <w:p w14:paraId="0A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Проект </w:t>
      </w:r>
    </w:p>
    <w:p w14:paraId="0B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о внесении изменений в правила землепользования и застройки </w:t>
      </w:r>
    </w:p>
    <w:p w14:paraId="0C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Грушев</w:t>
      </w:r>
      <w:r>
        <w:rPr>
          <w:b w:val="1"/>
          <w:sz w:val="28"/>
        </w:rPr>
        <w:t>ского сельского поселения Аксайского района Ростовской области</w:t>
      </w:r>
    </w:p>
    <w:p w14:paraId="0D000000">
      <w:pPr>
        <w:ind/>
        <w:jc w:val="both"/>
        <w:rPr>
          <w:sz w:val="28"/>
        </w:rPr>
      </w:pPr>
    </w:p>
    <w:p w14:paraId="0E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Данным проектом предусмотрены следующие изменения: </w:t>
      </w:r>
    </w:p>
    <w:p w14:paraId="0F000000">
      <w:pPr>
        <w:numPr>
          <w:ilvl w:val="0"/>
          <w:numId w:val="1"/>
        </w:numPr>
        <w:ind w:firstLine="709" w:left="0"/>
        <w:jc w:val="both"/>
        <w:rPr>
          <w:sz w:val="28"/>
        </w:rPr>
      </w:pPr>
      <w:r>
        <w:rPr>
          <w:sz w:val="28"/>
        </w:rPr>
        <w:t>В карте градостроительного зонирования:</w:t>
      </w:r>
    </w:p>
    <w:p w14:paraId="10000000">
      <w:pPr>
        <w:numPr>
          <w:ilvl w:val="1"/>
          <w:numId w:val="1"/>
        </w:numPr>
        <w:ind w:firstLine="709" w:left="0"/>
        <w:jc w:val="both"/>
        <w:rPr>
          <w:sz w:val="28"/>
        </w:rPr>
      </w:pPr>
      <w:r>
        <w:rPr>
          <w:sz w:val="28"/>
        </w:rPr>
        <w:t>Уточнение номеров территориальных зон с целью внесения сведений о границах территориальных зон в Единый государственный реестр недвижимости.</w:t>
      </w:r>
    </w:p>
    <w:p w14:paraId="11000000">
      <w:pPr>
        <w:numPr>
          <w:ilvl w:val="1"/>
          <w:numId w:val="1"/>
        </w:numPr>
        <w:ind w:firstLine="709" w:left="0"/>
        <w:jc w:val="both"/>
        <w:rPr>
          <w:sz w:val="28"/>
        </w:rPr>
      </w:pPr>
      <w:r>
        <w:rPr>
          <w:sz w:val="28"/>
        </w:rPr>
        <w:t>Включение земельн</w:t>
      </w:r>
      <w:r>
        <w:rPr>
          <w:sz w:val="28"/>
        </w:rPr>
        <w:t>ых</w:t>
      </w:r>
      <w:r>
        <w:rPr>
          <w:sz w:val="28"/>
        </w:rPr>
        <w:t xml:space="preserve"> участк</w:t>
      </w:r>
      <w:r>
        <w:rPr>
          <w:sz w:val="28"/>
        </w:rPr>
        <w:t>ов</w:t>
      </w:r>
      <w:r>
        <w:rPr>
          <w:sz w:val="28"/>
        </w:rPr>
        <w:t xml:space="preserve"> с кадастровым</w:t>
      </w:r>
      <w:r>
        <w:rPr>
          <w:sz w:val="28"/>
        </w:rPr>
        <w:t>и</w:t>
      </w:r>
      <w:r>
        <w:rPr>
          <w:sz w:val="28"/>
        </w:rPr>
        <w:t xml:space="preserve"> номер</w:t>
      </w:r>
      <w:r>
        <w:rPr>
          <w:sz w:val="28"/>
        </w:rPr>
        <w:t>а</w:t>
      </w:r>
      <w:r>
        <w:rPr>
          <w:sz w:val="28"/>
        </w:rPr>
        <w:t>м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61:02:</w:t>
      </w:r>
      <w:r>
        <w:rPr>
          <w:sz w:val="28"/>
        </w:rPr>
        <w:t xml:space="preserve">0600002:3072, </w:t>
      </w:r>
      <w:r>
        <w:rPr>
          <w:sz w:val="28"/>
        </w:rPr>
        <w:t>61:02:</w:t>
      </w:r>
      <w:r>
        <w:rPr>
          <w:sz w:val="28"/>
        </w:rPr>
        <w:t xml:space="preserve">0600002:2372, </w:t>
      </w:r>
      <w:r>
        <w:rPr>
          <w:sz w:val="28"/>
        </w:rPr>
        <w:t>61:02:</w:t>
      </w:r>
      <w:r>
        <w:rPr>
          <w:sz w:val="28"/>
        </w:rPr>
        <w:t xml:space="preserve">0600002:2374, </w:t>
      </w:r>
      <w:r>
        <w:rPr>
          <w:sz w:val="28"/>
        </w:rPr>
        <w:t>61:02:</w:t>
      </w:r>
      <w:r>
        <w:rPr>
          <w:sz w:val="28"/>
        </w:rPr>
        <w:t xml:space="preserve">0600002:2739, </w:t>
      </w:r>
      <w:r>
        <w:rPr>
          <w:sz w:val="28"/>
        </w:rPr>
        <w:t>61:02:</w:t>
      </w:r>
      <w:r>
        <w:rPr>
          <w:sz w:val="28"/>
        </w:rPr>
        <w:t xml:space="preserve">0600002:2370, </w:t>
      </w:r>
      <w:r>
        <w:rPr>
          <w:sz w:val="28"/>
        </w:rPr>
        <w:t>61:02:</w:t>
      </w:r>
      <w:r>
        <w:rPr>
          <w:sz w:val="28"/>
        </w:rPr>
        <w:t>0600002:2392</w:t>
      </w:r>
      <w:r>
        <w:rPr>
          <w:sz w:val="28"/>
        </w:rPr>
        <w:t xml:space="preserve"> в состав территориальной зоны </w:t>
      </w:r>
      <w:r>
        <w:rPr>
          <w:sz w:val="28"/>
        </w:rPr>
        <w:t xml:space="preserve">Ц-2/5 </w:t>
      </w:r>
      <w:r>
        <w:rPr>
          <w:sz w:val="28"/>
        </w:rPr>
        <w:t>«</w:t>
      </w:r>
      <w:r>
        <w:rPr>
          <w:sz w:val="28"/>
        </w:rPr>
        <w:t>Зона деловой, производственной активности и обслуживания вдоль дорог федерального и регионального значения</w:t>
      </w:r>
      <w:r>
        <w:rPr>
          <w:sz w:val="28"/>
        </w:rPr>
        <w:t>».</w:t>
      </w:r>
    </w:p>
    <w:p w14:paraId="12000000">
      <w:pPr>
        <w:numPr>
          <w:ilvl w:val="1"/>
          <w:numId w:val="1"/>
        </w:numPr>
        <w:ind w:firstLine="709" w:left="0"/>
        <w:jc w:val="both"/>
        <w:rPr>
          <w:sz w:val="28"/>
        </w:rPr>
      </w:pPr>
      <w:r>
        <w:rPr>
          <w:sz w:val="28"/>
        </w:rPr>
        <w:t>Включение земельн</w:t>
      </w:r>
      <w:r>
        <w:rPr>
          <w:sz w:val="28"/>
        </w:rPr>
        <w:t>ых</w:t>
      </w:r>
      <w:r>
        <w:rPr>
          <w:sz w:val="28"/>
        </w:rPr>
        <w:t xml:space="preserve"> участк</w:t>
      </w:r>
      <w:r>
        <w:rPr>
          <w:sz w:val="28"/>
        </w:rPr>
        <w:t>ов</w:t>
      </w:r>
      <w:r>
        <w:rPr>
          <w:sz w:val="28"/>
        </w:rPr>
        <w:t xml:space="preserve"> с кадастровым</w:t>
      </w:r>
      <w:r>
        <w:rPr>
          <w:sz w:val="28"/>
        </w:rPr>
        <w:t>и</w:t>
      </w:r>
      <w:r>
        <w:rPr>
          <w:sz w:val="28"/>
        </w:rPr>
        <w:t xml:space="preserve"> номер</w:t>
      </w:r>
      <w:r>
        <w:rPr>
          <w:sz w:val="28"/>
        </w:rPr>
        <w:t>а</w:t>
      </w:r>
      <w:r>
        <w:rPr>
          <w:sz w:val="28"/>
        </w:rPr>
        <w:t>м</w:t>
      </w:r>
      <w:r>
        <w:rPr>
          <w:sz w:val="28"/>
        </w:rPr>
        <w:t>и</w:t>
      </w:r>
      <w:r>
        <w:rPr>
          <w:sz w:val="28"/>
        </w:rPr>
        <w:t xml:space="preserve"> 61:02:</w:t>
      </w:r>
      <w:r>
        <w:rPr>
          <w:sz w:val="28"/>
        </w:rPr>
        <w:t xml:space="preserve">0600002:2741, </w:t>
      </w:r>
      <w:r>
        <w:rPr>
          <w:sz w:val="28"/>
        </w:rPr>
        <w:t>61:02:</w:t>
      </w:r>
      <w:r>
        <w:rPr>
          <w:sz w:val="28"/>
        </w:rPr>
        <w:t xml:space="preserve">0600002:2742, </w:t>
      </w:r>
      <w:r>
        <w:rPr>
          <w:sz w:val="28"/>
        </w:rPr>
        <w:t>61:02:</w:t>
      </w:r>
      <w:r>
        <w:rPr>
          <w:sz w:val="28"/>
        </w:rPr>
        <w:t xml:space="preserve">0600002:2345, </w:t>
      </w:r>
      <w:r>
        <w:rPr>
          <w:sz w:val="28"/>
        </w:rPr>
        <w:t>61:02:</w:t>
      </w:r>
      <w:r>
        <w:rPr>
          <w:sz w:val="28"/>
        </w:rPr>
        <w:t xml:space="preserve">0600002:2746, </w:t>
      </w:r>
      <w:r>
        <w:rPr>
          <w:sz w:val="28"/>
        </w:rPr>
        <w:t>61:02:</w:t>
      </w:r>
      <w:r>
        <w:rPr>
          <w:sz w:val="28"/>
        </w:rPr>
        <w:t>0600002:2347</w:t>
      </w:r>
      <w:r>
        <w:rPr>
          <w:sz w:val="28"/>
        </w:rPr>
        <w:t xml:space="preserve"> в состав территориальной зоны </w:t>
      </w:r>
      <w:r>
        <w:rPr>
          <w:sz w:val="28"/>
        </w:rPr>
        <w:t xml:space="preserve">ПК-2/1 </w:t>
      </w:r>
      <w:r>
        <w:rPr>
          <w:sz w:val="28"/>
        </w:rPr>
        <w:t>«</w:t>
      </w:r>
      <w:r>
        <w:rPr>
          <w:sz w:val="28"/>
        </w:rPr>
        <w:t xml:space="preserve">Зона производственно-коммунальных объектов </w:t>
      </w:r>
      <w:r>
        <w:rPr>
          <w:sz w:val="28"/>
        </w:rPr>
        <w:t>IV</w:t>
      </w:r>
      <w:r>
        <w:rPr>
          <w:sz w:val="28"/>
        </w:rPr>
        <w:t xml:space="preserve"> класса вредности</w:t>
      </w:r>
      <w:r>
        <w:rPr>
          <w:sz w:val="28"/>
        </w:rPr>
        <w:t>».</w:t>
      </w:r>
    </w:p>
    <w:p w14:paraId="13000000">
      <w:pPr>
        <w:ind w:hanging="371" w:left="1080"/>
        <w:jc w:val="both"/>
        <w:rPr>
          <w:sz w:val="28"/>
        </w:rPr>
      </w:pPr>
    </w:p>
    <w:p w14:paraId="14000000">
      <w:pPr>
        <w:numPr>
          <w:ilvl w:val="0"/>
          <w:numId w:val="1"/>
        </w:numPr>
        <w:ind w:firstLine="709"/>
        <w:jc w:val="both"/>
        <w:rPr>
          <w:sz w:val="28"/>
        </w:rPr>
      </w:pPr>
      <w:r>
        <w:rPr>
          <w:sz w:val="28"/>
        </w:rPr>
        <w:t>В пояснительной записке:</w:t>
      </w:r>
    </w:p>
    <w:p w14:paraId="15000000">
      <w:pPr>
        <w:ind w:firstLine="709" w:left="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>1</w:t>
      </w:r>
      <w:r>
        <w:rPr>
          <w:sz w:val="28"/>
        </w:rPr>
        <w:t xml:space="preserve">. Из градостроительного регламента территориальных зон </w:t>
      </w:r>
      <w:r>
        <w:rPr>
          <w:sz w:val="28"/>
        </w:rPr>
        <w:t>Ж-2/1; Ж-2/2; Ж-2/3; Ж-2/4; Ж-2/5; Ж-2/6</w:t>
      </w:r>
      <w:r>
        <w:rPr>
          <w:sz w:val="28"/>
        </w:rPr>
        <w:t xml:space="preserve">; </w:t>
      </w:r>
      <w:r>
        <w:rPr>
          <w:sz w:val="28"/>
        </w:rPr>
        <w:t>Ж-2/</w:t>
      </w:r>
      <w:r>
        <w:rPr>
          <w:sz w:val="28"/>
        </w:rPr>
        <w:t xml:space="preserve">7; </w:t>
      </w:r>
      <w:r>
        <w:rPr>
          <w:sz w:val="28"/>
        </w:rPr>
        <w:t>Ж-2/</w:t>
      </w:r>
      <w:r>
        <w:rPr>
          <w:sz w:val="28"/>
        </w:rPr>
        <w:t xml:space="preserve">8; </w:t>
      </w:r>
      <w:r>
        <w:rPr>
          <w:sz w:val="28"/>
        </w:rPr>
        <w:t>Ж-2/</w:t>
      </w:r>
      <w:r>
        <w:rPr>
          <w:sz w:val="28"/>
        </w:rPr>
        <w:t xml:space="preserve">9; </w:t>
      </w:r>
      <w:r>
        <w:rPr>
          <w:sz w:val="28"/>
        </w:rPr>
        <w:t>Ж-2/</w:t>
      </w:r>
      <w:r>
        <w:rPr>
          <w:sz w:val="28"/>
        </w:rPr>
        <w:t xml:space="preserve">10; </w:t>
      </w:r>
      <w:r>
        <w:rPr>
          <w:sz w:val="28"/>
        </w:rPr>
        <w:t>Ж-2/</w:t>
      </w:r>
      <w:r>
        <w:rPr>
          <w:sz w:val="28"/>
        </w:rPr>
        <w:t xml:space="preserve">11; </w:t>
      </w:r>
      <w:r>
        <w:rPr>
          <w:sz w:val="28"/>
        </w:rPr>
        <w:t>Ж-2/</w:t>
      </w:r>
      <w:r>
        <w:rPr>
          <w:sz w:val="28"/>
        </w:rPr>
        <w:t xml:space="preserve">12; </w:t>
      </w:r>
      <w:r>
        <w:rPr>
          <w:sz w:val="28"/>
        </w:rPr>
        <w:t>Ж-2/</w:t>
      </w:r>
      <w:r>
        <w:rPr>
          <w:sz w:val="28"/>
        </w:rPr>
        <w:t xml:space="preserve">13; </w:t>
      </w:r>
      <w:r>
        <w:rPr>
          <w:sz w:val="28"/>
        </w:rPr>
        <w:t>Ж-2/</w:t>
      </w:r>
      <w:r>
        <w:rPr>
          <w:sz w:val="28"/>
        </w:rPr>
        <w:t xml:space="preserve">14; </w:t>
      </w:r>
      <w:r>
        <w:rPr>
          <w:sz w:val="28"/>
        </w:rPr>
        <w:t>Ж-2/</w:t>
      </w:r>
      <w:r>
        <w:rPr>
          <w:sz w:val="28"/>
        </w:rPr>
        <w:t>15</w:t>
      </w:r>
      <w:r>
        <w:rPr>
          <w:sz w:val="28"/>
        </w:rPr>
        <w:t xml:space="preserve"> </w:t>
      </w:r>
      <w:r>
        <w:rPr>
          <w:sz w:val="28"/>
        </w:rPr>
        <w:t xml:space="preserve">«Зона развития жилой застройки» </w:t>
      </w:r>
      <w:r>
        <w:rPr>
          <w:sz w:val="28"/>
        </w:rPr>
        <w:t>исключить примечание:</w:t>
      </w:r>
      <w:r>
        <w:rPr>
          <w:sz w:val="28"/>
        </w:rPr>
        <w:t xml:space="preserve"> </w:t>
      </w:r>
    </w:p>
    <w:p w14:paraId="16000000">
      <w:pPr>
        <w:ind w:firstLine="709"/>
        <w:jc w:val="both"/>
        <w:rPr>
          <w:sz w:val="28"/>
        </w:rPr>
      </w:pPr>
      <w:r>
        <w:rPr>
          <w:sz w:val="28"/>
        </w:rPr>
        <w:t>* При ширине земельного участка менее 15 метров, при условии:</w:t>
      </w:r>
    </w:p>
    <w:p w14:paraId="17000000">
      <w:pPr>
        <w:ind w:firstLine="709"/>
        <w:jc w:val="both"/>
        <w:rPr>
          <w:sz w:val="28"/>
        </w:rPr>
      </w:pPr>
      <w:r>
        <w:rPr>
          <w:sz w:val="28"/>
        </w:rPr>
        <w:t xml:space="preserve">- соблюдения </w:t>
      </w:r>
      <w:r>
        <w:rPr>
          <w:sz w:val="28"/>
        </w:rPr>
        <w:t xml:space="preserve">противопожарного расстояния не менее 6,0 м. от объектов капитального строительства, расположенных на рассматриваемом и соседних земельных участках; </w:t>
      </w:r>
    </w:p>
    <w:p w14:paraId="18000000">
      <w:pPr>
        <w:ind w:firstLine="709"/>
        <w:jc w:val="both"/>
        <w:rPr>
          <w:sz w:val="28"/>
        </w:rPr>
      </w:pPr>
      <w:r>
        <w:rPr>
          <w:sz w:val="28"/>
        </w:rPr>
        <w:t>- предоставления в администрацию сельского поселения схемы планировочной организации земельного участка, выполненной на топографической съемке в масштабе 1:500, с обозначением планируемого к строительству жилого дома на рассматриваемом земельном участке и существующих объектов капитального строительства, расположенных на соседних земельных участках,</w:t>
      </w:r>
    </w:p>
    <w:p w14:paraId="19000000">
      <w:pPr>
        <w:ind w:firstLine="709"/>
        <w:jc w:val="both"/>
        <w:rPr>
          <w:sz w:val="28"/>
        </w:rPr>
      </w:pPr>
      <w:r>
        <w:rPr>
          <w:sz w:val="28"/>
        </w:rPr>
        <w:t>м</w:t>
      </w:r>
      <w:r>
        <w:rPr>
          <w:sz w:val="28"/>
        </w:rPr>
        <w:t>инимальные отступы от границ соседнего участка до жилого дома - 1 м.</w:t>
      </w:r>
    </w:p>
    <w:p w14:paraId="1A000000">
      <w:pPr>
        <w:ind w:firstLine="709" w:left="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>2</w:t>
      </w:r>
      <w:r>
        <w:rPr>
          <w:sz w:val="28"/>
        </w:rPr>
        <w:t>. Привести Правила землепользования и застройки привести в соответствие с классификатором видов разрешенного использования земельных участков, утвержденным приказом Федеральной службы государственной регистрации, кадастра и картографии от 10 ноября 2020 года № П/0412, в действующей редакции Приказа от 23 июня 2022 года № П/0</w:t>
      </w:r>
      <w:r>
        <w:rPr>
          <w:sz w:val="28"/>
        </w:rPr>
        <w:t>246</w:t>
      </w:r>
      <w:r>
        <w:rPr>
          <w:sz w:val="28"/>
        </w:rPr>
        <w:t>, а именно:</w:t>
      </w:r>
    </w:p>
    <w:p w14:paraId="1B000000">
      <w:pPr>
        <w:ind w:firstLine="709" w:left="0"/>
        <w:jc w:val="both"/>
        <w:rPr>
          <w:b w:val="1"/>
          <w:sz w:val="28"/>
        </w:rPr>
      </w:pPr>
      <w:r>
        <w:rPr>
          <w:sz w:val="28"/>
        </w:rPr>
        <w:t>2.</w:t>
      </w:r>
      <w:r>
        <w:rPr>
          <w:sz w:val="28"/>
        </w:rPr>
        <w:t>2</w:t>
      </w:r>
      <w:r>
        <w:rPr>
          <w:sz w:val="28"/>
        </w:rPr>
        <w:t xml:space="preserve">.1. Градостроительный регламент территориальных зон </w:t>
      </w:r>
      <w:r>
        <w:rPr>
          <w:sz w:val="28"/>
        </w:rPr>
        <w:t>Ж-1/1; Ж-1/2; Ж-1/3;</w:t>
      </w:r>
      <w:r>
        <w:rPr>
          <w:sz w:val="28"/>
        </w:rPr>
        <w:t xml:space="preserve"> </w:t>
      </w:r>
      <w:r>
        <w:rPr>
          <w:sz w:val="28"/>
        </w:rPr>
        <w:t>Ж-1/4;</w:t>
      </w:r>
      <w:r>
        <w:rPr>
          <w:sz w:val="28"/>
        </w:rPr>
        <w:t xml:space="preserve"> </w:t>
      </w:r>
      <w:r>
        <w:rPr>
          <w:sz w:val="28"/>
        </w:rPr>
        <w:t>Ж-1/5; Ж-1/6; Ж-1/7; Ж-1/8</w:t>
      </w:r>
      <w:r>
        <w:rPr>
          <w:sz w:val="28"/>
        </w:rPr>
        <w:t xml:space="preserve">; </w:t>
      </w:r>
      <w:r>
        <w:rPr>
          <w:sz w:val="28"/>
        </w:rPr>
        <w:t>Ж-1/</w:t>
      </w:r>
      <w:r>
        <w:rPr>
          <w:sz w:val="28"/>
        </w:rPr>
        <w:t xml:space="preserve">9; </w:t>
      </w:r>
      <w:r>
        <w:rPr>
          <w:sz w:val="28"/>
        </w:rPr>
        <w:t>Ж-1/</w:t>
      </w:r>
      <w:r>
        <w:rPr>
          <w:sz w:val="28"/>
        </w:rPr>
        <w:t xml:space="preserve">10, </w:t>
      </w:r>
      <w:r>
        <w:rPr>
          <w:sz w:val="28"/>
        </w:rPr>
        <w:t>Ж-1/</w:t>
      </w:r>
      <w:r>
        <w:rPr>
          <w:sz w:val="28"/>
        </w:rPr>
        <w:t xml:space="preserve">11; </w:t>
      </w:r>
      <w:r>
        <w:rPr>
          <w:sz w:val="28"/>
        </w:rPr>
        <w:t>Ж-1/</w:t>
      </w:r>
      <w:r>
        <w:rPr>
          <w:sz w:val="28"/>
        </w:rPr>
        <w:t>12</w:t>
      </w:r>
      <w:r>
        <w:rPr>
          <w:sz w:val="28"/>
        </w:rPr>
        <w:t xml:space="preserve"> «Зона существующей </w:t>
      </w:r>
      <w:r>
        <w:rPr>
          <w:sz w:val="28"/>
        </w:rPr>
        <w:t xml:space="preserve">индивидуальной </w:t>
      </w:r>
      <w:r>
        <w:rPr>
          <w:sz w:val="28"/>
        </w:rPr>
        <w:t>жилой застройк</w:t>
      </w:r>
      <w:r>
        <w:rPr>
          <w:sz w:val="28"/>
        </w:rPr>
        <w:t>и»;</w:t>
      </w:r>
      <w:r>
        <w:rPr>
          <w:sz w:val="28"/>
        </w:rPr>
        <w:t xml:space="preserve"> </w:t>
      </w:r>
      <w:r>
        <w:rPr>
          <w:sz w:val="28"/>
        </w:rPr>
        <w:t>Ж-2/1; Ж-2/2; Ж-2/3; Ж-2/4; Ж-2/5; Ж-2/6</w:t>
      </w:r>
      <w:r>
        <w:rPr>
          <w:sz w:val="28"/>
        </w:rPr>
        <w:t xml:space="preserve">; </w:t>
      </w:r>
      <w:r>
        <w:rPr>
          <w:sz w:val="28"/>
        </w:rPr>
        <w:t>Ж-2/</w:t>
      </w:r>
      <w:r>
        <w:rPr>
          <w:sz w:val="28"/>
        </w:rPr>
        <w:t xml:space="preserve">7; </w:t>
      </w:r>
      <w:r>
        <w:rPr>
          <w:sz w:val="28"/>
        </w:rPr>
        <w:t>Ж-2/</w:t>
      </w:r>
      <w:r>
        <w:rPr>
          <w:sz w:val="28"/>
        </w:rPr>
        <w:t xml:space="preserve">8; </w:t>
      </w:r>
      <w:r>
        <w:rPr>
          <w:sz w:val="28"/>
        </w:rPr>
        <w:t>Ж-2/</w:t>
      </w:r>
      <w:r>
        <w:rPr>
          <w:sz w:val="28"/>
        </w:rPr>
        <w:t xml:space="preserve">9; </w:t>
      </w:r>
      <w:r>
        <w:rPr>
          <w:sz w:val="28"/>
        </w:rPr>
        <w:t>Ж-2/</w:t>
      </w:r>
      <w:r>
        <w:rPr>
          <w:sz w:val="28"/>
        </w:rPr>
        <w:t xml:space="preserve">10; </w:t>
      </w:r>
      <w:r>
        <w:rPr>
          <w:sz w:val="28"/>
        </w:rPr>
        <w:t>Ж-2/</w:t>
      </w:r>
      <w:r>
        <w:rPr>
          <w:sz w:val="28"/>
        </w:rPr>
        <w:t xml:space="preserve">11; </w:t>
      </w:r>
      <w:r>
        <w:rPr>
          <w:sz w:val="28"/>
        </w:rPr>
        <w:t>Ж-2/</w:t>
      </w:r>
      <w:r>
        <w:rPr>
          <w:sz w:val="28"/>
        </w:rPr>
        <w:t xml:space="preserve">12; </w:t>
      </w:r>
      <w:r>
        <w:rPr>
          <w:sz w:val="28"/>
        </w:rPr>
        <w:t>Ж-2/</w:t>
      </w:r>
      <w:r>
        <w:rPr>
          <w:sz w:val="28"/>
        </w:rPr>
        <w:t>13</w:t>
      </w:r>
      <w:r>
        <w:rPr>
          <w:sz w:val="28"/>
        </w:rPr>
        <w:t xml:space="preserve">; </w:t>
      </w:r>
      <w:r>
        <w:rPr>
          <w:sz w:val="28"/>
        </w:rPr>
        <w:t>Ж-2/</w:t>
      </w:r>
      <w:r>
        <w:rPr>
          <w:sz w:val="28"/>
        </w:rPr>
        <w:t xml:space="preserve">14; </w:t>
      </w:r>
      <w:r>
        <w:rPr>
          <w:sz w:val="28"/>
        </w:rPr>
        <w:t>Ж-2/</w:t>
      </w:r>
      <w:r>
        <w:rPr>
          <w:sz w:val="28"/>
        </w:rPr>
        <w:t>15</w:t>
      </w:r>
      <w:r>
        <w:rPr>
          <w:sz w:val="28"/>
        </w:rPr>
        <w:t xml:space="preserve"> «Зона развития жилой </w:t>
      </w:r>
      <w:r>
        <w:rPr>
          <w:sz w:val="28"/>
        </w:rPr>
        <w:t>индивидуальной застройки»</w:t>
      </w:r>
    </w:p>
    <w:tbl>
      <w:tblPr>
        <w:tblStyle w:val="Style_1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89"/>
        <w:gridCol w:w="2576"/>
        <w:gridCol w:w="2766"/>
        <w:gridCol w:w="4174"/>
      </w:tblGrid>
      <w:tr>
        <w:trPr>
          <w:trHeight w:hRule="atLeast" w:val="20"/>
        </w:trPr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tabs>
                <w:tab w:leader="none" w:pos="2520" w:val="left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код</w:t>
            </w:r>
          </w:p>
        </w:tc>
        <w:tc>
          <w:tcPr>
            <w:tcW w:type="dxa" w:w="2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00000">
            <w:pPr>
              <w:tabs>
                <w:tab w:leader="none" w:pos="2520" w:val="left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виды использования земельных участков</w:t>
            </w:r>
          </w:p>
        </w:tc>
        <w:tc>
          <w:tcPr>
            <w:tcW w:type="dxa" w:w="2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00000">
            <w:pPr>
              <w:tabs>
                <w:tab w:leader="none" w:pos="2520" w:val="left"/>
              </w:tabs>
              <w:ind w:firstLine="0" w:left="-17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виды объектов </w:t>
            </w:r>
          </w:p>
        </w:tc>
        <w:tc>
          <w:tcPr>
            <w:tcW w:type="dxa" w:w="4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00000">
            <w:pPr>
              <w:tabs>
                <w:tab w:leader="none" w:pos="2520" w:val="left"/>
              </w:tabs>
              <w:ind w:firstLine="34" w:left="0"/>
              <w:jc w:val="center"/>
              <w:rPr>
                <w:sz w:val="28"/>
              </w:rPr>
            </w:pPr>
            <w:r>
              <w:rPr>
                <w:sz w:val="28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>
        <w:trPr>
          <w:trHeight w:hRule="atLeast" w:val="20"/>
        </w:trPr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rPr>
                <w:spacing w:val="-20"/>
                <w:sz w:val="28"/>
              </w:rPr>
            </w:pPr>
            <w:r>
              <w:rPr>
                <w:spacing w:val="-20"/>
                <w:sz w:val="28"/>
              </w:rPr>
              <w:t>2.7.2</w:t>
            </w:r>
          </w:p>
        </w:tc>
        <w:tc>
          <w:tcPr>
            <w:tcW w:type="dxa" w:w="2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rPr>
                <w:sz w:val="28"/>
              </w:rPr>
            </w:pPr>
            <w:r>
              <w:rPr>
                <w:sz w:val="28"/>
              </w:rPr>
              <w:t>Размещение гаражей для собственных нужд</w:t>
            </w:r>
          </w:p>
        </w:tc>
        <w:tc>
          <w:tcPr>
            <w:tcW w:type="dxa" w:w="2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type="dxa" w:w="4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widowControl w:val="0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Максимальная/минимальная площадь земельных участков – 250 кв. м/18 кв.м.</w:t>
            </w:r>
          </w:p>
          <w:p w14:paraId="24000000">
            <w:pPr>
              <w:widowControl w:val="0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Предельные линейные размеры земельных участков не нормируются.</w:t>
            </w:r>
          </w:p>
          <w:p w14:paraId="25000000">
            <w:pPr>
              <w:widowControl w:val="0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Предельная высота зданий, строений, сооружений от уровня земли - 4 м.</w:t>
            </w:r>
          </w:p>
          <w:p w14:paraId="26000000">
            <w:pPr>
              <w:widowControl w:val="0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Максимальный процент застройки в границах земельного участка – 80%.</w:t>
            </w:r>
          </w:p>
          <w:p w14:paraId="27000000">
            <w:pPr>
              <w:ind w:firstLine="567" w:left="0"/>
              <w:jc w:val="both"/>
              <w:rPr>
                <w:sz w:val="28"/>
              </w:rPr>
            </w:pPr>
            <w:r>
              <w:rPr>
                <w:sz w:val="28"/>
              </w:rPr>
              <w:t>Минимальные отступы от границ соседнего участка - 1 м.</w:t>
            </w:r>
          </w:p>
        </w:tc>
      </w:tr>
    </w:tbl>
    <w:p w14:paraId="28000000">
      <w:pPr>
        <w:ind/>
        <w:jc w:val="both"/>
        <w:rPr>
          <w:sz w:val="28"/>
        </w:rPr>
      </w:pPr>
    </w:p>
    <w:p w14:paraId="29000000">
      <w:pPr>
        <w:ind w:firstLine="708" w:left="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>2</w:t>
      </w:r>
      <w:r>
        <w:rPr>
          <w:sz w:val="28"/>
        </w:rPr>
        <w:t xml:space="preserve">.2. Градостроительный регламент территориальных зон </w:t>
      </w:r>
      <w:r>
        <w:rPr>
          <w:sz w:val="28"/>
        </w:rPr>
        <w:t>ПК-</w:t>
      </w:r>
      <w:r>
        <w:rPr>
          <w:sz w:val="28"/>
        </w:rPr>
        <w:t>3/1; ПК-3/2</w:t>
      </w:r>
      <w:r>
        <w:rPr>
          <w:sz w:val="28"/>
        </w:rPr>
        <w:t xml:space="preserve"> «</w:t>
      </w:r>
      <w:r>
        <w:rPr>
          <w:sz w:val="28"/>
        </w:rPr>
        <w:t xml:space="preserve">Зона производственно-коммунальных объектов </w:t>
      </w:r>
      <w:r>
        <w:rPr>
          <w:sz w:val="28"/>
        </w:rPr>
        <w:t>III</w:t>
      </w:r>
      <w:r>
        <w:rPr>
          <w:sz w:val="28"/>
        </w:rPr>
        <w:t xml:space="preserve"> класса вредности</w:t>
      </w:r>
      <w:r>
        <w:rPr>
          <w:b w:val="1"/>
          <w:sz w:val="28"/>
        </w:rPr>
        <w:t xml:space="preserve">» </w:t>
      </w:r>
      <w:r>
        <w:rPr>
          <w:sz w:val="28"/>
        </w:rPr>
        <w:t>дополнить основными видами разрешенного использования:</w:t>
      </w:r>
    </w:p>
    <w:tbl>
      <w:tblPr>
        <w:tblStyle w:val="Style_1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89"/>
        <w:gridCol w:w="2576"/>
        <w:gridCol w:w="2766"/>
        <w:gridCol w:w="4144"/>
      </w:tblGrid>
      <w:tr>
        <w:trPr>
          <w:trHeight w:hRule="atLeast" w:val="20"/>
        </w:trPr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tabs>
                <w:tab w:leader="none" w:pos="2520" w:val="left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код</w:t>
            </w:r>
          </w:p>
        </w:tc>
        <w:tc>
          <w:tcPr>
            <w:tcW w:type="dxa" w:w="2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00000">
            <w:pPr>
              <w:tabs>
                <w:tab w:leader="none" w:pos="2520" w:val="left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виды использования земельных участков</w:t>
            </w:r>
          </w:p>
        </w:tc>
        <w:tc>
          <w:tcPr>
            <w:tcW w:type="dxa" w:w="2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00000">
            <w:pPr>
              <w:tabs>
                <w:tab w:leader="none" w:pos="2520" w:val="left"/>
              </w:tabs>
              <w:ind w:firstLine="0" w:left="-17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виды объектов </w:t>
            </w:r>
          </w:p>
        </w:tc>
        <w:tc>
          <w:tcPr>
            <w:tcW w:type="dxa" w:w="4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00000">
            <w:pPr>
              <w:tabs>
                <w:tab w:leader="none" w:pos="2520" w:val="left"/>
              </w:tabs>
              <w:ind w:firstLine="34" w:left="0"/>
              <w:jc w:val="center"/>
              <w:rPr>
                <w:sz w:val="28"/>
              </w:rPr>
            </w:pPr>
            <w:r>
              <w:rPr>
                <w:sz w:val="28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>
        <w:trPr>
          <w:trHeight w:hRule="atLeast" w:val="20"/>
        </w:trPr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rPr>
                <w:spacing w:val="-20"/>
                <w:sz w:val="28"/>
              </w:rPr>
            </w:pPr>
            <w:r>
              <w:rPr>
                <w:spacing w:val="-20"/>
                <w:sz w:val="28"/>
              </w:rPr>
              <w:t>6.3.2</w:t>
            </w:r>
          </w:p>
        </w:tc>
        <w:tc>
          <w:tcPr>
            <w:tcW w:type="dxa" w:w="2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rPr>
                <w:sz w:val="28"/>
              </w:rPr>
            </w:pPr>
            <w:r>
              <w:rPr>
                <w:sz w:val="28"/>
                <w:highlight w:val="white"/>
              </w:rPr>
              <w:t>Фарфоро-фаянсовая промышленность</w:t>
            </w:r>
          </w:p>
        </w:tc>
        <w:tc>
          <w:tcPr>
            <w:tcW w:type="dxa" w:w="2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ind/>
              <w:jc w:val="both"/>
              <w:rPr>
                <w:sz w:val="28"/>
              </w:rPr>
            </w:pPr>
            <w:r>
              <w:rPr>
                <w:sz w:val="28"/>
                <w:highlight w:val="white"/>
              </w:rPr>
              <w:t>Размещение объектов капитального строительства, предназначенных для производства продукции фарфоро-фаянсовой промышленности</w:t>
            </w:r>
          </w:p>
        </w:tc>
        <w:tc>
          <w:tcPr>
            <w:tcW w:type="dxa" w:w="41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tabs>
                <w:tab w:leader="none" w:pos="1134" w:val="left"/>
              </w:tabs>
              <w:ind w:firstLine="426" w:left="0"/>
              <w:jc w:val="both"/>
              <w:rPr>
                <w:sz w:val="28"/>
              </w:rPr>
            </w:pPr>
            <w:r>
              <w:rPr>
                <w:sz w:val="28"/>
              </w:rPr>
              <w:t>Минимальная/максимальная площадь земельных участков не нормируется.</w:t>
            </w:r>
          </w:p>
          <w:p w14:paraId="32000000">
            <w:pPr>
              <w:tabs>
                <w:tab w:leader="none" w:pos="1134" w:val="left"/>
              </w:tabs>
              <w:ind w:firstLine="426" w:left="0"/>
              <w:jc w:val="both"/>
              <w:rPr>
                <w:sz w:val="28"/>
              </w:rPr>
            </w:pPr>
            <w:r>
              <w:rPr>
                <w:sz w:val="28"/>
              </w:rPr>
              <w:t>Предельные линейные размеры земельных участков не нормируются.</w:t>
            </w:r>
          </w:p>
          <w:p w14:paraId="33000000">
            <w:pPr>
              <w:tabs>
                <w:tab w:leader="none" w:pos="1134" w:val="left"/>
              </w:tabs>
              <w:ind w:firstLine="426" w:left="0"/>
              <w:jc w:val="both"/>
              <w:rPr>
                <w:sz w:val="28"/>
              </w:rPr>
            </w:pPr>
            <w:r>
              <w:rPr>
                <w:sz w:val="28"/>
              </w:rPr>
              <w:t>Предельная высота зданий, строений, сооружений от уровня земли не нормируется.</w:t>
            </w:r>
          </w:p>
          <w:p w14:paraId="34000000">
            <w:pPr>
              <w:tabs>
                <w:tab w:leader="none" w:pos="1134" w:val="left"/>
              </w:tabs>
              <w:ind w:firstLine="426" w:left="0"/>
              <w:jc w:val="both"/>
              <w:rPr>
                <w:sz w:val="28"/>
              </w:rPr>
            </w:pPr>
            <w:r>
              <w:rPr>
                <w:sz w:val="28"/>
              </w:rPr>
              <w:t>Максимальный процент застройки в границах земельного участка не нормируется.</w:t>
            </w:r>
          </w:p>
          <w:p w14:paraId="35000000">
            <w:pPr>
              <w:tabs>
                <w:tab w:leader="none" w:pos="1134" w:val="left"/>
              </w:tabs>
              <w:ind w:firstLine="426" w:lef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Минимальный процент застройки – </w:t>
            </w:r>
            <w:r>
              <w:rPr>
                <w:sz w:val="28"/>
              </w:rPr>
              <w:t>45 %</w:t>
            </w:r>
            <w:r>
              <w:rPr>
                <w:sz w:val="28"/>
              </w:rPr>
              <w:t>.</w:t>
            </w:r>
          </w:p>
          <w:p w14:paraId="36000000">
            <w:pPr>
              <w:ind w:firstLine="426" w:left="0"/>
              <w:jc w:val="both"/>
              <w:rPr>
                <w:sz w:val="28"/>
              </w:rPr>
            </w:pPr>
            <w:r>
              <w:rPr>
                <w:sz w:val="28"/>
              </w:rPr>
              <w:t>Минимальные отступы от границ соседнего участка не нормируются.</w:t>
            </w:r>
          </w:p>
        </w:tc>
      </w:tr>
    </w:tbl>
    <w:p w14:paraId="37000000">
      <w:pPr>
        <w:ind/>
        <w:jc w:val="both"/>
        <w:rPr>
          <w:sz w:val="28"/>
        </w:rPr>
      </w:pPr>
    </w:p>
    <w:p w14:paraId="38000000">
      <w:pPr>
        <w:ind w:firstLine="709"/>
        <w:jc w:val="both"/>
        <w:rPr>
          <w:sz w:val="28"/>
        </w:rPr>
      </w:pPr>
      <w:r>
        <w:rPr>
          <w:sz w:val="28"/>
        </w:rPr>
        <w:t xml:space="preserve">2.10.2. Градостроительный регламент территориальных зон </w:t>
      </w:r>
      <w:r>
        <w:rPr>
          <w:sz w:val="28"/>
        </w:rPr>
        <w:t>ПК-1/1; ПК-1/2; ПК-1/3; ПК-1/4; ПК-1/5; ПК-1/6; ПК-1/7; ПК-1/8; ПК-1/9; ПК-1/10 «</w:t>
      </w:r>
      <w:r>
        <w:rPr>
          <w:sz w:val="28"/>
        </w:rPr>
        <w:t xml:space="preserve">Зона производственно-коммунальных объектов </w:t>
      </w:r>
      <w:r>
        <w:rPr>
          <w:sz w:val="28"/>
        </w:rPr>
        <w:t>V</w:t>
      </w:r>
      <w:r>
        <w:rPr>
          <w:sz w:val="28"/>
        </w:rPr>
        <w:t xml:space="preserve"> класса вредности</w:t>
      </w:r>
      <w:r>
        <w:rPr>
          <w:sz w:val="28"/>
        </w:rPr>
        <w:t>»; ПК-2/1; ПК-2/2; ПК-2/3; ПК-2/4; ПК-2/5; ПК-2/6; ПК-2/7; ПК-2/8; ПК-2/9 «</w:t>
      </w:r>
      <w:r>
        <w:rPr>
          <w:sz w:val="28"/>
        </w:rPr>
        <w:t xml:space="preserve">Зона производственно-коммунальных объектов </w:t>
      </w:r>
      <w:r>
        <w:rPr>
          <w:sz w:val="28"/>
        </w:rPr>
        <w:t>IV</w:t>
      </w:r>
      <w:r>
        <w:rPr>
          <w:sz w:val="28"/>
        </w:rPr>
        <w:t xml:space="preserve"> класса вредности</w:t>
      </w:r>
      <w:r>
        <w:rPr>
          <w:sz w:val="28"/>
        </w:rPr>
        <w:t>»;</w:t>
      </w:r>
      <w:r>
        <w:rPr>
          <w:sz w:val="28"/>
        </w:rPr>
        <w:t xml:space="preserve"> </w:t>
      </w:r>
      <w:r>
        <w:rPr>
          <w:sz w:val="28"/>
        </w:rPr>
        <w:t>П-</w:t>
      </w:r>
      <w:r>
        <w:rPr>
          <w:sz w:val="28"/>
        </w:rPr>
        <w:t>3/1; ПК-3/2</w:t>
      </w:r>
      <w:r>
        <w:rPr>
          <w:sz w:val="28"/>
        </w:rPr>
        <w:t xml:space="preserve"> «</w:t>
      </w:r>
      <w:r>
        <w:rPr>
          <w:sz w:val="28"/>
        </w:rPr>
        <w:t xml:space="preserve">Зона производственно-коммунальных объектов </w:t>
      </w:r>
      <w:r>
        <w:rPr>
          <w:sz w:val="28"/>
        </w:rPr>
        <w:t>III</w:t>
      </w:r>
      <w:r>
        <w:rPr>
          <w:sz w:val="28"/>
        </w:rPr>
        <w:t xml:space="preserve"> класса вредности</w:t>
      </w:r>
      <w:r>
        <w:rPr>
          <w:b w:val="1"/>
          <w:sz w:val="28"/>
        </w:rPr>
        <w:t xml:space="preserve">» </w:t>
      </w:r>
      <w:r>
        <w:rPr>
          <w:sz w:val="28"/>
        </w:rPr>
        <w:t>дополнить основными видами разрешенного использования:</w:t>
      </w:r>
    </w:p>
    <w:tbl>
      <w:tblPr>
        <w:tblStyle w:val="Style_1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89"/>
        <w:gridCol w:w="2576"/>
        <w:gridCol w:w="2766"/>
        <w:gridCol w:w="4096"/>
      </w:tblGrid>
      <w:tr>
        <w:trPr>
          <w:trHeight w:hRule="atLeast" w:val="20"/>
        </w:trPr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tabs>
                <w:tab w:leader="none" w:pos="2520" w:val="left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код</w:t>
            </w:r>
          </w:p>
        </w:tc>
        <w:tc>
          <w:tcPr>
            <w:tcW w:type="dxa" w:w="2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00000">
            <w:pPr>
              <w:tabs>
                <w:tab w:leader="none" w:pos="2520" w:val="left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виды использования земельных участков</w:t>
            </w:r>
          </w:p>
        </w:tc>
        <w:tc>
          <w:tcPr>
            <w:tcW w:type="dxa" w:w="2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00000">
            <w:pPr>
              <w:tabs>
                <w:tab w:leader="none" w:pos="2520" w:val="left"/>
              </w:tabs>
              <w:ind w:firstLine="0" w:left="-17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виды объектов </w:t>
            </w:r>
          </w:p>
        </w:tc>
        <w:tc>
          <w:tcPr>
            <w:tcW w:type="dxa" w:w="4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00000">
            <w:pPr>
              <w:tabs>
                <w:tab w:leader="none" w:pos="2520" w:val="left"/>
              </w:tabs>
              <w:ind w:firstLine="34" w:left="0"/>
              <w:jc w:val="center"/>
              <w:rPr>
                <w:sz w:val="28"/>
              </w:rPr>
            </w:pPr>
            <w:r>
              <w:rPr>
                <w:sz w:val="28"/>
              </w:rPr>
              <w:t>параметры разрешенного использования земельных участков и объектов капитального строительства</w:t>
            </w:r>
          </w:p>
        </w:tc>
      </w:tr>
      <w:tr>
        <w:trPr>
          <w:trHeight w:hRule="atLeast" w:val="20"/>
        </w:trPr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rPr>
                <w:spacing w:val="-20"/>
                <w:sz w:val="28"/>
              </w:rPr>
            </w:pPr>
            <w:r>
              <w:rPr>
                <w:spacing w:val="-20"/>
                <w:sz w:val="28"/>
              </w:rPr>
              <w:t>4</w:t>
            </w:r>
            <w:r>
              <w:rPr>
                <w:spacing w:val="-20"/>
                <w:sz w:val="28"/>
              </w:rPr>
              <w:t>.9.2</w:t>
            </w:r>
          </w:p>
        </w:tc>
        <w:tc>
          <w:tcPr>
            <w:tcW w:type="dxa" w:w="2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rPr>
                <w:sz w:val="28"/>
              </w:rPr>
            </w:pPr>
            <w:r>
              <w:rPr>
                <w:sz w:val="28"/>
                <w:highlight w:val="white"/>
              </w:rPr>
              <w:t>Стоянка</w:t>
            </w:r>
            <w:r>
              <w:rPr>
                <w:sz w:val="28"/>
              </w:rPr>
              <w:br/>
            </w:r>
            <w:r>
              <w:rPr>
                <w:sz w:val="28"/>
                <w:highlight w:val="white"/>
              </w:rPr>
              <w:t>транспортных</w:t>
            </w:r>
            <w:r>
              <w:rPr>
                <w:sz w:val="28"/>
              </w:rPr>
              <w:br/>
            </w:r>
            <w:r>
              <w:rPr>
                <w:sz w:val="28"/>
                <w:highlight w:val="white"/>
              </w:rPr>
              <w:t>средств</w:t>
            </w:r>
          </w:p>
        </w:tc>
        <w:tc>
          <w:tcPr>
            <w:tcW w:type="dxa" w:w="2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ind/>
              <w:jc w:val="both"/>
              <w:rPr>
                <w:sz w:val="28"/>
              </w:rPr>
            </w:pPr>
            <w:r>
              <w:rPr>
                <w:sz w:val="28"/>
                <w:highlight w:val="white"/>
              </w:rPr>
              <w:t>Размещение стоянок (парковок) легковых автомобилей и других мототранспортных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type="dxa" w:w="4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tabs>
                <w:tab w:leader="none" w:pos="1134" w:val="left"/>
              </w:tabs>
              <w:ind w:firstLine="426" w:left="0"/>
              <w:jc w:val="both"/>
              <w:rPr>
                <w:sz w:val="28"/>
              </w:rPr>
            </w:pPr>
            <w:r>
              <w:rPr>
                <w:sz w:val="28"/>
              </w:rPr>
              <w:t>Минимальная/максимальная площадь земельных участков не нормируется.</w:t>
            </w:r>
          </w:p>
          <w:p w14:paraId="41000000">
            <w:pPr>
              <w:tabs>
                <w:tab w:leader="none" w:pos="1134" w:val="left"/>
              </w:tabs>
              <w:ind w:firstLine="426" w:left="0"/>
              <w:jc w:val="both"/>
              <w:rPr>
                <w:sz w:val="28"/>
              </w:rPr>
            </w:pPr>
            <w:r>
              <w:rPr>
                <w:sz w:val="28"/>
              </w:rPr>
              <w:t>Предельные линейные размеры земельных участков не нормируются.</w:t>
            </w:r>
          </w:p>
          <w:p w14:paraId="42000000">
            <w:pPr>
              <w:tabs>
                <w:tab w:leader="none" w:pos="1134" w:val="left"/>
              </w:tabs>
              <w:ind w:firstLine="426" w:left="0"/>
              <w:jc w:val="both"/>
              <w:rPr>
                <w:sz w:val="28"/>
              </w:rPr>
            </w:pPr>
            <w:r>
              <w:rPr>
                <w:sz w:val="28"/>
              </w:rPr>
              <w:t>Предельная высота зданий, строений, сооружений от уровня земли не нормируется.</w:t>
            </w:r>
          </w:p>
          <w:p w14:paraId="43000000">
            <w:pPr>
              <w:tabs>
                <w:tab w:leader="none" w:pos="1134" w:val="left"/>
              </w:tabs>
              <w:ind w:firstLine="426" w:left="0"/>
              <w:jc w:val="both"/>
              <w:rPr>
                <w:sz w:val="28"/>
              </w:rPr>
            </w:pPr>
            <w:r>
              <w:rPr>
                <w:sz w:val="28"/>
              </w:rPr>
              <w:t>Максимальный процент застройки в границах земельного участка не нормируется.</w:t>
            </w:r>
          </w:p>
          <w:p w14:paraId="44000000">
            <w:pPr>
              <w:tabs>
                <w:tab w:leader="none" w:pos="1134" w:val="left"/>
              </w:tabs>
              <w:ind w:firstLine="426" w:left="0"/>
              <w:jc w:val="both"/>
              <w:rPr>
                <w:sz w:val="28"/>
              </w:rPr>
            </w:pPr>
            <w:r>
              <w:rPr>
                <w:sz w:val="28"/>
              </w:rPr>
              <w:t>Минимальный процент застройки – не нормируется.</w:t>
            </w:r>
          </w:p>
          <w:p w14:paraId="45000000">
            <w:pPr>
              <w:ind w:firstLine="426" w:left="0"/>
              <w:jc w:val="both"/>
              <w:rPr>
                <w:sz w:val="28"/>
              </w:rPr>
            </w:pPr>
            <w:r>
              <w:rPr>
                <w:sz w:val="28"/>
              </w:rPr>
              <w:t>Минимальные отступы от границ соседнего участка не нормируются.</w:t>
            </w:r>
          </w:p>
        </w:tc>
      </w:tr>
      <w:tr>
        <w:trPr>
          <w:trHeight w:hRule="atLeast" w:val="20"/>
        </w:trPr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rPr>
                <w:spacing w:val="-20"/>
                <w:sz w:val="28"/>
              </w:rPr>
            </w:pPr>
            <w:r>
              <w:rPr>
                <w:spacing w:val="-20"/>
                <w:sz w:val="28"/>
              </w:rPr>
              <w:t>6.3.3</w:t>
            </w:r>
          </w:p>
        </w:tc>
        <w:tc>
          <w:tcPr>
            <w:tcW w:type="dxa" w:w="2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rPr>
                <w:sz w:val="28"/>
              </w:rPr>
            </w:pPr>
            <w:r>
              <w:rPr>
                <w:sz w:val="28"/>
                <w:highlight w:val="white"/>
              </w:rPr>
              <w:t>Электронная промышленность</w:t>
            </w:r>
          </w:p>
        </w:tc>
        <w:tc>
          <w:tcPr>
            <w:tcW w:type="dxa" w:w="2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ind/>
              <w:jc w:val="both"/>
              <w:rPr>
                <w:sz w:val="28"/>
              </w:rPr>
            </w:pPr>
            <w:r>
              <w:rPr>
                <w:sz w:val="28"/>
                <w:highlight w:val="white"/>
              </w:rPr>
              <w:t>Размещение объектов капитального строительства, предназначенных для производства продукции электронной промышленности</w:t>
            </w:r>
          </w:p>
        </w:tc>
        <w:tc>
          <w:tcPr>
            <w:tcW w:type="dxa" w:w="4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tabs>
                <w:tab w:leader="none" w:pos="1134" w:val="left"/>
              </w:tabs>
              <w:ind w:firstLine="426" w:left="0"/>
              <w:jc w:val="both"/>
              <w:rPr>
                <w:sz w:val="28"/>
              </w:rPr>
            </w:pPr>
            <w:r>
              <w:rPr>
                <w:sz w:val="28"/>
              </w:rPr>
              <w:t>Минимальная/максимальная площадь земельных участков не нормируется.</w:t>
            </w:r>
          </w:p>
          <w:p w14:paraId="4A000000">
            <w:pPr>
              <w:tabs>
                <w:tab w:leader="none" w:pos="1134" w:val="left"/>
              </w:tabs>
              <w:ind w:firstLine="426" w:left="0"/>
              <w:jc w:val="both"/>
              <w:rPr>
                <w:sz w:val="28"/>
              </w:rPr>
            </w:pPr>
            <w:r>
              <w:rPr>
                <w:sz w:val="28"/>
              </w:rPr>
              <w:t>Предельные линейные размеры земельных участков не нормируются.</w:t>
            </w:r>
          </w:p>
          <w:p w14:paraId="4B000000">
            <w:pPr>
              <w:tabs>
                <w:tab w:leader="none" w:pos="1134" w:val="left"/>
              </w:tabs>
              <w:ind w:firstLine="426" w:left="0"/>
              <w:jc w:val="both"/>
              <w:rPr>
                <w:sz w:val="28"/>
              </w:rPr>
            </w:pPr>
            <w:r>
              <w:rPr>
                <w:sz w:val="28"/>
              </w:rPr>
              <w:t>Предельная высота зданий, строений, сооружений от уровня земли не нормируется.</w:t>
            </w:r>
          </w:p>
          <w:p w14:paraId="4C000000">
            <w:pPr>
              <w:tabs>
                <w:tab w:leader="none" w:pos="1134" w:val="left"/>
              </w:tabs>
              <w:ind w:firstLine="426" w:left="0"/>
              <w:jc w:val="both"/>
              <w:rPr>
                <w:sz w:val="28"/>
              </w:rPr>
            </w:pPr>
            <w:r>
              <w:rPr>
                <w:sz w:val="28"/>
              </w:rPr>
              <w:t>Максимальный процент застройки в границах земельного участка не нормируется.</w:t>
            </w:r>
          </w:p>
          <w:p w14:paraId="4D000000">
            <w:pPr>
              <w:tabs>
                <w:tab w:leader="none" w:pos="1134" w:val="left"/>
              </w:tabs>
              <w:ind w:firstLine="426" w:left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Минимальный процент застройки – </w:t>
            </w:r>
            <w:r>
              <w:rPr>
                <w:sz w:val="28"/>
              </w:rPr>
              <w:t>50 %</w:t>
            </w:r>
            <w:r>
              <w:rPr>
                <w:sz w:val="28"/>
              </w:rPr>
              <w:t>.</w:t>
            </w:r>
          </w:p>
          <w:p w14:paraId="4E000000">
            <w:pPr>
              <w:tabs>
                <w:tab w:leader="none" w:pos="1134" w:val="left"/>
              </w:tabs>
              <w:ind w:firstLine="426" w:left="0"/>
              <w:jc w:val="both"/>
              <w:rPr>
                <w:sz w:val="28"/>
              </w:rPr>
            </w:pPr>
            <w:r>
              <w:rPr>
                <w:sz w:val="28"/>
              </w:rPr>
              <w:t>Минимальные отступы от границ соседнего участка не нормируются.</w:t>
            </w:r>
          </w:p>
        </w:tc>
      </w:tr>
      <w:tr>
        <w:trPr>
          <w:trHeight w:hRule="atLeast" w:val="20"/>
        </w:trPr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rPr>
                <w:spacing w:val="-20"/>
                <w:sz w:val="28"/>
              </w:rPr>
            </w:pPr>
            <w:r>
              <w:rPr>
                <w:spacing w:val="-20"/>
                <w:sz w:val="28"/>
              </w:rPr>
              <w:t>6.3.4</w:t>
            </w:r>
          </w:p>
        </w:tc>
        <w:tc>
          <w:tcPr>
            <w:tcW w:type="dxa" w:w="2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rPr>
                <w:sz w:val="28"/>
              </w:rPr>
            </w:pPr>
            <w:r>
              <w:rPr>
                <w:sz w:val="28"/>
                <w:highlight w:val="white"/>
              </w:rPr>
              <w:t>Ювелирная промышленность</w:t>
            </w:r>
          </w:p>
        </w:tc>
        <w:tc>
          <w:tcPr>
            <w:tcW w:type="dxa" w:w="2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pPr>
              <w:ind/>
              <w:jc w:val="both"/>
              <w:rPr>
                <w:sz w:val="28"/>
              </w:rPr>
            </w:pPr>
            <w:r>
              <w:rPr>
                <w:sz w:val="28"/>
                <w:highlight w:val="white"/>
              </w:rPr>
              <w:t>Размещение объектов капитального строительства, предназначенных для производства продукции ювелирной промышленности</w:t>
            </w:r>
          </w:p>
        </w:tc>
        <w:tc>
          <w:tcPr>
            <w:tcW w:type="dxa" w:w="4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00000">
            <w:pPr>
              <w:tabs>
                <w:tab w:leader="none" w:pos="1134" w:val="left"/>
              </w:tabs>
              <w:ind w:firstLine="426" w:left="0"/>
              <w:jc w:val="both"/>
              <w:rPr>
                <w:sz w:val="28"/>
              </w:rPr>
            </w:pPr>
            <w:r>
              <w:rPr>
                <w:sz w:val="28"/>
              </w:rPr>
              <w:t>Минимальная/максимальная площадь земельных участков не нормируется.</w:t>
            </w:r>
          </w:p>
          <w:p w14:paraId="53000000">
            <w:pPr>
              <w:tabs>
                <w:tab w:leader="none" w:pos="1134" w:val="left"/>
              </w:tabs>
              <w:ind w:firstLine="426" w:left="0"/>
              <w:jc w:val="both"/>
              <w:rPr>
                <w:sz w:val="28"/>
              </w:rPr>
            </w:pPr>
            <w:r>
              <w:rPr>
                <w:sz w:val="28"/>
              </w:rPr>
              <w:t>Предельные линейные размеры земельных участков не нормируются.</w:t>
            </w:r>
          </w:p>
          <w:p w14:paraId="54000000">
            <w:pPr>
              <w:tabs>
                <w:tab w:leader="none" w:pos="1134" w:val="left"/>
              </w:tabs>
              <w:ind w:firstLine="426" w:left="0"/>
              <w:jc w:val="both"/>
              <w:rPr>
                <w:sz w:val="28"/>
              </w:rPr>
            </w:pPr>
            <w:r>
              <w:rPr>
                <w:sz w:val="28"/>
              </w:rPr>
              <w:t>Предельная высота зданий, строений, сооружений от уровня земли не нормируется.</w:t>
            </w:r>
          </w:p>
          <w:p w14:paraId="55000000">
            <w:pPr>
              <w:tabs>
                <w:tab w:leader="none" w:pos="1134" w:val="left"/>
              </w:tabs>
              <w:ind w:firstLine="426" w:left="0"/>
              <w:jc w:val="both"/>
              <w:rPr>
                <w:sz w:val="28"/>
              </w:rPr>
            </w:pPr>
            <w:r>
              <w:rPr>
                <w:sz w:val="28"/>
              </w:rPr>
              <w:t>Максимальный процент застройки в границах земельного участка не нормируется.</w:t>
            </w:r>
          </w:p>
          <w:p w14:paraId="56000000">
            <w:pPr>
              <w:tabs>
                <w:tab w:leader="none" w:pos="1134" w:val="left"/>
              </w:tabs>
              <w:ind w:firstLine="426" w:left="0"/>
              <w:jc w:val="both"/>
              <w:rPr>
                <w:sz w:val="28"/>
              </w:rPr>
            </w:pPr>
            <w:r>
              <w:rPr>
                <w:sz w:val="28"/>
              </w:rPr>
              <w:t>Минимальный процент застройки – не нормируется.</w:t>
            </w:r>
          </w:p>
          <w:p w14:paraId="57000000">
            <w:pPr>
              <w:tabs>
                <w:tab w:leader="none" w:pos="1134" w:val="left"/>
              </w:tabs>
              <w:ind w:firstLine="426" w:left="0"/>
              <w:jc w:val="both"/>
              <w:rPr>
                <w:sz w:val="28"/>
              </w:rPr>
            </w:pPr>
            <w:r>
              <w:rPr>
                <w:sz w:val="28"/>
              </w:rPr>
              <w:t>Минимальные отступы от границ соседнего участка не нормируются.</w:t>
            </w:r>
          </w:p>
        </w:tc>
      </w:tr>
    </w:tbl>
    <w:p w14:paraId="58000000">
      <w:pPr>
        <w:ind/>
        <w:jc w:val="both"/>
        <w:rPr>
          <w:sz w:val="28"/>
        </w:rPr>
      </w:pPr>
    </w:p>
    <w:p w14:paraId="59000000">
      <w:pPr>
        <w:ind w:firstLine="709"/>
        <w:jc w:val="both"/>
        <w:rPr>
          <w:sz w:val="28"/>
        </w:rPr>
      </w:pPr>
      <w:r>
        <w:rPr>
          <w:sz w:val="28"/>
        </w:rPr>
        <w:t>2.10.3. Привести наименование видов объектов следующих видов разрешенного использования в соответствие с действующей редакцией классификатора видов разрешенного использования земельных участков, оставив параметры разрешенного использования земельных участков и объектов капитального строительства без изменений:</w:t>
      </w:r>
    </w:p>
    <w:tbl>
      <w:tblPr>
        <w:tblStyle w:val="Style_1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91"/>
        <w:gridCol w:w="2583"/>
        <w:gridCol w:w="6877"/>
      </w:tblGrid>
      <w:tr>
        <w:trPr>
          <w:trHeight w:hRule="atLeast" w:val="20"/>
        </w:trPr>
        <w:tc>
          <w:tcPr>
            <w:tcW w:type="dxa" w:w="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00000">
            <w:pPr>
              <w:tabs>
                <w:tab w:leader="none" w:pos="2520" w:val="left"/>
              </w:tabs>
              <w:ind/>
              <w:jc w:val="center"/>
              <w:rPr>
                <w:spacing w:val="-20"/>
                <w:sz w:val="28"/>
              </w:rPr>
            </w:pPr>
            <w:r>
              <w:rPr>
                <w:spacing w:val="-20"/>
                <w:sz w:val="28"/>
              </w:rPr>
              <w:t>код</w:t>
            </w:r>
          </w:p>
        </w:tc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00000">
            <w:pPr>
              <w:tabs>
                <w:tab w:leader="none" w:pos="2520" w:val="left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виды использования земельных участков</w:t>
            </w:r>
          </w:p>
        </w:tc>
        <w:tc>
          <w:tcPr>
            <w:tcW w:type="dxa" w:w="6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00000">
            <w:pPr>
              <w:tabs>
                <w:tab w:leader="none" w:pos="2520" w:val="left"/>
              </w:tabs>
              <w:ind w:firstLine="0" w:left="-17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виды объектов </w:t>
            </w:r>
          </w:p>
        </w:tc>
      </w:tr>
      <w:tr>
        <w:trPr>
          <w:trHeight w:hRule="atLeast" w:val="20"/>
        </w:trPr>
        <w:tc>
          <w:tcPr>
            <w:tcW w:type="dxa" w:w="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00000">
            <w:pPr>
              <w:rPr>
                <w:spacing w:val="-20"/>
                <w:sz w:val="28"/>
              </w:rPr>
            </w:pPr>
            <w:r>
              <w:rPr>
                <w:spacing w:val="-20"/>
                <w:sz w:val="28"/>
              </w:rPr>
              <w:t>2.1</w:t>
            </w:r>
          </w:p>
        </w:tc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Для индивидуального жилищного строительства</w:t>
            </w:r>
          </w:p>
        </w:tc>
        <w:tc>
          <w:tcPr>
            <w:tcW w:type="dxa" w:w="6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  <w:highlight w:val="white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 сельскохозяйственных культур; размещение гаражей для собственных нужд и хозяйственных построек</w:t>
            </w:r>
          </w:p>
        </w:tc>
      </w:tr>
      <w:tr>
        <w:trPr>
          <w:trHeight w:hRule="atLeast" w:val="20"/>
        </w:trPr>
        <w:tc>
          <w:tcPr>
            <w:tcW w:type="dxa" w:w="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rPr>
                <w:spacing w:val="-20"/>
                <w:sz w:val="28"/>
              </w:rPr>
            </w:pPr>
            <w:r>
              <w:rPr>
                <w:spacing w:val="-20"/>
                <w:sz w:val="28"/>
              </w:rPr>
              <w:t>2.3</w:t>
            </w:r>
          </w:p>
        </w:tc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0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Блокированная жилая застройка</w:t>
            </w:r>
          </w:p>
        </w:tc>
        <w:tc>
          <w:tcPr>
            <w:tcW w:type="dxa" w:w="6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  <w:highlight w:val="white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</w:tr>
      <w:tr>
        <w:trPr>
          <w:trHeight w:hRule="atLeast" w:val="20"/>
        </w:trPr>
        <w:tc>
          <w:tcPr>
            <w:tcW w:type="dxa" w:w="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rPr>
                <w:spacing w:val="-20"/>
                <w:sz w:val="28"/>
              </w:rPr>
            </w:pPr>
            <w:r>
              <w:rPr>
                <w:spacing w:val="-20"/>
                <w:sz w:val="28"/>
              </w:rPr>
              <w:t>2.7.1</w:t>
            </w:r>
          </w:p>
        </w:tc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Хранение автотранспорта</w:t>
            </w:r>
          </w:p>
        </w:tc>
        <w:tc>
          <w:tcPr>
            <w:tcW w:type="dxa" w:w="6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0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  <w:highlight w:val="white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</w:tr>
      <w:tr>
        <w:trPr>
          <w:trHeight w:hRule="atLeast" w:val="20"/>
        </w:trPr>
        <w:tc>
          <w:tcPr>
            <w:tcW w:type="dxa" w:w="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00000">
            <w:pPr>
              <w:rPr>
                <w:spacing w:val="-20"/>
                <w:sz w:val="28"/>
              </w:rPr>
            </w:pPr>
            <w:r>
              <w:rPr>
                <w:spacing w:val="-20"/>
                <w:sz w:val="28"/>
              </w:rPr>
              <w:t>4.2</w:t>
            </w:r>
          </w:p>
        </w:tc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0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Объекты торговли (торговые центры, торгово-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>развлекательные центры (комплексы)</w:t>
            </w:r>
          </w:p>
        </w:tc>
        <w:tc>
          <w:tcPr>
            <w:tcW w:type="dxa" w:w="6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0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  <w:highlight w:val="white"/>
              </w:rPr>
              <w:t>Размещение объектов капитального строительства, общей площадью свыше 5000 кв.м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4.5, 4.6, 4.8-4.8.2; размещение гаражей и (или) стоянок для автомобилей сотрудников и посетителей торгового центра</w:t>
            </w:r>
          </w:p>
        </w:tc>
      </w:tr>
      <w:tr>
        <w:trPr>
          <w:trHeight w:hRule="atLeast" w:val="20"/>
        </w:trPr>
        <w:tc>
          <w:tcPr>
            <w:tcW w:type="dxa" w:w="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00000">
            <w:pPr>
              <w:rPr>
                <w:spacing w:val="-20"/>
                <w:sz w:val="28"/>
              </w:rPr>
            </w:pPr>
            <w:r>
              <w:rPr>
                <w:spacing w:val="-20"/>
                <w:sz w:val="28"/>
              </w:rPr>
              <w:t>4.7</w:t>
            </w:r>
          </w:p>
        </w:tc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0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Гостиничное обслуживание</w:t>
            </w:r>
          </w:p>
        </w:tc>
        <w:tc>
          <w:tcPr>
            <w:tcW w:type="dxa" w:w="6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0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Размещение гостиниц</w:t>
            </w:r>
          </w:p>
        </w:tc>
      </w:tr>
      <w:tr>
        <w:trPr>
          <w:trHeight w:hRule="atLeast" w:val="20"/>
        </w:trPr>
        <w:tc>
          <w:tcPr>
            <w:tcW w:type="dxa" w:w="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00000">
            <w:pPr>
              <w:rPr>
                <w:spacing w:val="-20"/>
                <w:sz w:val="28"/>
              </w:rPr>
            </w:pPr>
            <w:r>
              <w:rPr>
                <w:spacing w:val="-20"/>
                <w:sz w:val="28"/>
              </w:rPr>
              <w:t>5.2.1</w:t>
            </w:r>
          </w:p>
        </w:tc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0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Туристическое обслуживание</w:t>
            </w:r>
          </w:p>
        </w:tc>
        <w:tc>
          <w:tcPr>
            <w:tcW w:type="dxa" w:w="6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0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Размещение пансионатов, гостиниц, кемпингов, домов отдыха, не оказывающих услуги по лечению; размещение детских лагерей</w:t>
            </w:r>
          </w:p>
        </w:tc>
      </w:tr>
      <w:tr>
        <w:trPr>
          <w:trHeight w:hRule="atLeast" w:val="20"/>
        </w:trPr>
        <w:tc>
          <w:tcPr>
            <w:tcW w:type="dxa" w:w="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00000">
            <w:pPr>
              <w:rPr>
                <w:spacing w:val="-20"/>
                <w:sz w:val="28"/>
              </w:rPr>
            </w:pPr>
            <w:r>
              <w:rPr>
                <w:spacing w:val="-20"/>
                <w:sz w:val="28"/>
              </w:rPr>
              <w:t>6.3</w:t>
            </w:r>
          </w:p>
        </w:tc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0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Легкая промышленность</w:t>
            </w:r>
          </w:p>
        </w:tc>
        <w:tc>
          <w:tcPr>
            <w:tcW w:type="dxa" w:w="6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0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  <w:highlight w:val="white"/>
              </w:rPr>
              <w:t>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продукции легкой промышленности)</w:t>
            </w:r>
          </w:p>
        </w:tc>
      </w:tr>
      <w:tr>
        <w:trPr>
          <w:trHeight w:hRule="atLeast" w:val="20"/>
        </w:trPr>
        <w:tc>
          <w:tcPr>
            <w:tcW w:type="dxa" w:w="6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00000">
            <w:pPr>
              <w:rPr>
                <w:spacing w:val="-20"/>
                <w:sz w:val="28"/>
              </w:rPr>
            </w:pPr>
            <w:r>
              <w:rPr>
                <w:spacing w:val="-20"/>
                <w:sz w:val="28"/>
              </w:rPr>
              <w:t>13.2</w:t>
            </w:r>
          </w:p>
        </w:tc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0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Ведение садоводства</w:t>
            </w:r>
          </w:p>
        </w:tc>
        <w:tc>
          <w:tcPr>
            <w:tcW w:type="dxa" w:w="6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 для собственных нужд</w:t>
            </w:r>
          </w:p>
        </w:tc>
      </w:tr>
    </w:tbl>
    <w:p w14:paraId="75000000">
      <w:pPr>
        <w:ind/>
        <w:jc w:val="both"/>
      </w:pPr>
    </w:p>
    <w:p w14:paraId="76000000">
      <w:pPr>
        <w:ind/>
        <w:jc w:val="both"/>
        <w:rPr>
          <w:sz w:val="28"/>
        </w:rPr>
      </w:pPr>
    </w:p>
    <w:sectPr>
      <w:footerReference r:id="rId1" w:type="default"/>
      <w:pgSz w:h="16838" w:orient="portrait" w:w="11906"/>
      <w:pgMar w:bottom="397" w:footer="708" w:gutter="0" w:header="708" w:left="992" w:right="709" w:top="708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>
    <w:pPr>
      <w:spacing w:line="48" w:lineRule="auto"/>
      <w:ind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450" w:left="450"/>
      </w:pPr>
    </w:lvl>
    <w:lvl w:ilvl="1">
      <w:start w:val="1"/>
      <w:numFmt w:val="decimal"/>
      <w:lvlText w:val="%1.%2."/>
      <w:lvlJc w:val="left"/>
      <w:pPr>
        <w:ind w:hanging="720" w:left="1080"/>
      </w:pPr>
    </w:lvl>
    <w:lvl w:ilvl="2">
      <w:start w:val="1"/>
      <w:numFmt w:val="decimal"/>
      <w:lvlText w:val="%1.%2.%3."/>
      <w:lvlJc w:val="left"/>
      <w:pPr>
        <w:ind w:hanging="720" w:left="1440"/>
      </w:pPr>
    </w:lvl>
    <w:lvl w:ilvl="3">
      <w:start w:val="1"/>
      <w:numFmt w:val="decimal"/>
      <w:lvlText w:val="%1.%2.%3.%4."/>
      <w:lvlJc w:val="left"/>
      <w:pPr>
        <w:ind w:hanging="1080" w:left="2160"/>
      </w:pPr>
    </w:lvl>
    <w:lvl w:ilvl="4">
      <w:start w:val="1"/>
      <w:numFmt w:val="decimal"/>
      <w:lvlText w:val="%1.%2.%3.%4.%5."/>
      <w:lvlJc w:val="left"/>
      <w:pPr>
        <w:ind w:hanging="1080" w:left="2520"/>
      </w:pPr>
    </w:lvl>
    <w:lvl w:ilvl="5">
      <w:start w:val="1"/>
      <w:numFmt w:val="decimal"/>
      <w:lvlText w:val="%1.%2.%3.%4.%5.%6."/>
      <w:lvlJc w:val="left"/>
      <w:pPr>
        <w:ind w:hanging="1440" w:left="3240"/>
      </w:pPr>
    </w:lvl>
    <w:lvl w:ilvl="6">
      <w:start w:val="1"/>
      <w:numFmt w:val="decimal"/>
      <w:lvlText w:val="%1.%2.%3.%4.%5.%6.%7."/>
      <w:lvlJc w:val="left"/>
      <w:pPr>
        <w:ind w:hanging="1800" w:left="3960"/>
      </w:pPr>
    </w:lvl>
    <w:lvl w:ilvl="7">
      <w:start w:val="1"/>
      <w:numFmt w:val="decimal"/>
      <w:lvlText w:val="%1.%2.%3.%4.%5.%6.%7.%8."/>
      <w:lvlJc w:val="left"/>
      <w:pPr>
        <w:ind w:hanging="1800" w:left="4320"/>
      </w:pPr>
    </w:lvl>
    <w:lvl w:ilvl="8">
      <w:start w:val="1"/>
      <w:numFmt w:val="decimal"/>
      <w:lvlText w:val="%1.%2.%3.%4.%5.%6.%7.%8.%9."/>
      <w:lvlJc w:val="left"/>
      <w:pPr>
        <w:ind w:hanging="2160" w:left="504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Times New Roman" w:hAnsi="Times New Roman"/>
      <w:sz w:val="24"/>
    </w:rPr>
  </w:style>
  <w:style w:default="1" w:styleId="Style_2_ch" w:type="character">
    <w:name w:val="Normal"/>
    <w:link w:val="Style_2"/>
    <w:rPr>
      <w:rFonts w:ascii="Times New Roman" w:hAnsi="Times New Roman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header"/>
    <w:basedOn w:val="Style_2"/>
    <w:link w:val="Style_4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4_ch" w:type="character">
    <w:name w:val="header"/>
    <w:basedOn w:val="Style_2_ch"/>
    <w:link w:val="Style_4"/>
    <w:rPr>
      <w:sz w:val="20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Body Text 2"/>
    <w:basedOn w:val="Style_2"/>
    <w:link w:val="Style_9_ch"/>
    <w:pPr>
      <w:spacing w:after="120" w:line="480" w:lineRule="auto"/>
      <w:ind/>
    </w:pPr>
  </w:style>
  <w:style w:styleId="Style_9_ch" w:type="character">
    <w:name w:val="Body Text 2"/>
    <w:basedOn w:val="Style_2_ch"/>
    <w:link w:val="Style_9"/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search_result"/>
    <w:link w:val="Style_11_ch"/>
  </w:style>
  <w:style w:styleId="Style_11_ch" w:type="character">
    <w:name w:val="search_result"/>
    <w:link w:val="Style_11"/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eading 5"/>
    <w:next w:val="Style_2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2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2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2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ConsPlusNonformat"/>
    <w:link w:val="Style_20_ch"/>
    <w:pPr>
      <w:widowControl w:val="0"/>
      <w:ind/>
    </w:pPr>
    <w:rPr>
      <w:rFonts w:ascii="Courier New" w:hAnsi="Courier New"/>
    </w:rPr>
  </w:style>
  <w:style w:styleId="Style_20_ch" w:type="character">
    <w:name w:val="ConsPlusNonformat"/>
    <w:link w:val="Style_20"/>
    <w:rPr>
      <w:rFonts w:ascii="Courier New" w:hAnsi="Courier New"/>
    </w:rPr>
  </w:style>
  <w:style w:styleId="Style_21" w:type="paragraph">
    <w:name w:val="toc 8"/>
    <w:next w:val="Style_2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Balloon Text"/>
    <w:basedOn w:val="Style_2"/>
    <w:link w:val="Style_22_ch"/>
    <w:rPr>
      <w:rFonts w:ascii="Tahoma" w:hAnsi="Tahoma"/>
      <w:sz w:val="16"/>
    </w:rPr>
  </w:style>
  <w:style w:styleId="Style_22_ch" w:type="character">
    <w:name w:val="Balloon Text"/>
    <w:basedOn w:val="Style_2_ch"/>
    <w:link w:val="Style_22"/>
    <w:rPr>
      <w:rFonts w:ascii="Tahoma" w:hAnsi="Tahoma"/>
      <w:sz w:val="16"/>
    </w:rPr>
  </w:style>
  <w:style w:styleId="Style_23" w:type="paragraph">
    <w:name w:val="toc 5"/>
    <w:next w:val="Style_2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List Paragraph"/>
    <w:basedOn w:val="Style_2"/>
    <w:link w:val="Style_24_ch"/>
    <w:pPr>
      <w:ind w:firstLine="0" w:left="708"/>
    </w:pPr>
  </w:style>
  <w:style w:styleId="Style_24_ch" w:type="character">
    <w:name w:val="List Paragraph"/>
    <w:basedOn w:val="Style_2_ch"/>
    <w:link w:val="Style_24"/>
  </w:style>
  <w:style w:styleId="Style_25" w:type="paragraph">
    <w:name w:val="Subtitle"/>
    <w:next w:val="Style_2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2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2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2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2022-11-22T11:36:59Z</dcterms:modified>
</cp:coreProperties>
</file>